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Patrimonio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Patrimonio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Vendita beni patrimonio disponibile mediante asta pubblica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La vendita dei beni immobili patrimoniali disponibili, anche in deroga alle norme legislative sulle alienazioni del patrimonio alienabile dello Stato (L. 24.12.1908 n. 783 e s.m.i. e Regolamento approvato con R.D. 17.6.1909 n. 454), nonche' sulla contabilita' generale degli enti locali precedenti, deve essere effettuata nel rispetto dei principi generali dell'ordinamento giuridico contabile e l'adozione di criteri di trasparenza ed adeguate forme di pubblicita' per acquisire e valutare concorrenti proposte di acquisto.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Le entrate derivanti dalla vendita dei beni hanno destinazione vincolata in base a specifici provvedimenti adottati dall'organo di indirizzo politico-amministrativo, nel rispetto delle norme di contabilita' pubblica vigenti.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Tecnico Manutentiva SETTORE/UNITA' ORGANIZZATIVA Patrimonio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Patrimonio IndirizzoPiazza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tecnico@comune.parona.pv.it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Lunedi', martedi', giovedi', venerdi'10.00 - 13.00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Mercoledi'09.00 / 13.00 - 15.30 / 17.30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Saino Piero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Patrimonio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Termine disciplinato dalla lex di gara adottata dall'amministrazione.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Ricorso entro i termini indicati nel provvedimento da impugnare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